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053" w:type="dxa"/>
        <w:jc w:val="center"/>
        <w:tblInd w:w="906" w:type="dxa"/>
        <w:tblLayout w:type="fixed"/>
        <w:tblLook w:val="04A0"/>
      </w:tblPr>
      <w:tblGrid>
        <w:gridCol w:w="710"/>
        <w:gridCol w:w="3260"/>
        <w:gridCol w:w="1392"/>
        <w:gridCol w:w="3588"/>
        <w:gridCol w:w="1275"/>
        <w:gridCol w:w="1134"/>
        <w:gridCol w:w="993"/>
        <w:gridCol w:w="992"/>
        <w:gridCol w:w="709"/>
      </w:tblGrid>
      <w:tr w:rsidR="00D81934" w:rsidRPr="00D81934" w:rsidTr="004B328D">
        <w:trPr>
          <w:trHeight w:val="285"/>
          <w:jc w:val="center"/>
        </w:trPr>
        <w:tc>
          <w:tcPr>
            <w:tcW w:w="3970" w:type="dxa"/>
            <w:gridSpan w:val="2"/>
            <w:tcBorders>
              <w:top w:val="nil"/>
              <w:left w:val="nil"/>
              <w:bottom w:val="nil"/>
              <w:right w:val="nil"/>
            </w:tcBorders>
            <w:shd w:val="clear" w:color="auto" w:fill="auto"/>
            <w:noWrap/>
            <w:vAlign w:val="center"/>
            <w:hideMark/>
          </w:tcPr>
          <w:p w:rsidR="00D81934" w:rsidRPr="00D81934" w:rsidRDefault="00D81934" w:rsidP="00D81934">
            <w:pPr>
              <w:widowControl/>
              <w:spacing w:line="240" w:lineRule="auto"/>
              <w:jc w:val="left"/>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附件：</w:t>
            </w:r>
          </w:p>
        </w:tc>
        <w:tc>
          <w:tcPr>
            <w:tcW w:w="1392" w:type="dxa"/>
            <w:tcBorders>
              <w:top w:val="nil"/>
              <w:left w:val="nil"/>
              <w:bottom w:val="nil"/>
              <w:right w:val="nil"/>
            </w:tcBorders>
            <w:shd w:val="clear" w:color="auto" w:fill="auto"/>
            <w:noWrap/>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p>
        </w:tc>
        <w:tc>
          <w:tcPr>
            <w:tcW w:w="3588" w:type="dxa"/>
            <w:tcBorders>
              <w:top w:val="nil"/>
              <w:left w:val="nil"/>
              <w:bottom w:val="nil"/>
              <w:right w:val="nil"/>
            </w:tcBorders>
            <w:shd w:val="clear" w:color="auto" w:fill="auto"/>
            <w:noWrap/>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p>
        </w:tc>
        <w:tc>
          <w:tcPr>
            <w:tcW w:w="1275" w:type="dxa"/>
            <w:tcBorders>
              <w:top w:val="nil"/>
              <w:left w:val="nil"/>
              <w:bottom w:val="nil"/>
              <w:right w:val="nil"/>
            </w:tcBorders>
            <w:shd w:val="clear" w:color="auto" w:fill="auto"/>
            <w:noWrap/>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p>
        </w:tc>
        <w:tc>
          <w:tcPr>
            <w:tcW w:w="1134" w:type="dxa"/>
            <w:tcBorders>
              <w:top w:val="nil"/>
              <w:left w:val="nil"/>
              <w:bottom w:val="nil"/>
              <w:right w:val="nil"/>
            </w:tcBorders>
            <w:shd w:val="clear" w:color="auto" w:fill="auto"/>
            <w:noWrap/>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p>
        </w:tc>
        <w:tc>
          <w:tcPr>
            <w:tcW w:w="993" w:type="dxa"/>
            <w:tcBorders>
              <w:top w:val="nil"/>
              <w:left w:val="nil"/>
              <w:bottom w:val="nil"/>
              <w:right w:val="nil"/>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p>
        </w:tc>
        <w:tc>
          <w:tcPr>
            <w:tcW w:w="992" w:type="dxa"/>
            <w:tcBorders>
              <w:top w:val="nil"/>
              <w:left w:val="nil"/>
              <w:bottom w:val="nil"/>
              <w:right w:val="nil"/>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p>
        </w:tc>
        <w:tc>
          <w:tcPr>
            <w:tcW w:w="709" w:type="dxa"/>
            <w:tcBorders>
              <w:top w:val="nil"/>
              <w:left w:val="nil"/>
              <w:bottom w:val="nil"/>
              <w:right w:val="nil"/>
            </w:tcBorders>
            <w:shd w:val="clear" w:color="auto" w:fill="auto"/>
            <w:noWrap/>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p>
        </w:tc>
      </w:tr>
      <w:tr w:rsidR="00D81934" w:rsidRPr="00D81934" w:rsidTr="004B328D">
        <w:trPr>
          <w:trHeight w:val="624"/>
          <w:jc w:val="center"/>
        </w:trPr>
        <w:tc>
          <w:tcPr>
            <w:tcW w:w="14053" w:type="dxa"/>
            <w:gridSpan w:val="9"/>
            <w:vMerge w:val="restart"/>
            <w:tcBorders>
              <w:top w:val="nil"/>
              <w:left w:val="nil"/>
              <w:bottom w:val="nil"/>
              <w:right w:val="nil"/>
            </w:tcBorders>
            <w:shd w:val="clear" w:color="auto" w:fill="auto"/>
            <w:noWrap/>
            <w:vAlign w:val="center"/>
            <w:hideMark/>
          </w:tcPr>
          <w:p w:rsidR="00D81934" w:rsidRPr="00D81934" w:rsidRDefault="00D81934" w:rsidP="00D81934">
            <w:pPr>
              <w:widowControl/>
              <w:spacing w:line="240" w:lineRule="auto"/>
              <w:jc w:val="center"/>
              <w:rPr>
                <w:rFonts w:ascii="华文仿宋" w:eastAsia="华文仿宋" w:hAnsi="华文仿宋" w:cs="宋体"/>
                <w:b/>
                <w:bCs/>
                <w:color w:val="000000"/>
                <w:kern w:val="0"/>
                <w:sz w:val="32"/>
                <w:szCs w:val="32"/>
              </w:rPr>
            </w:pPr>
            <w:r w:rsidRPr="00D81934">
              <w:rPr>
                <w:rFonts w:ascii="华文仿宋" w:eastAsia="华文仿宋" w:hAnsi="华文仿宋" w:cs="宋体" w:hint="eastAsia"/>
                <w:b/>
                <w:bCs/>
                <w:color w:val="000000"/>
                <w:kern w:val="0"/>
                <w:sz w:val="32"/>
                <w:szCs w:val="32"/>
              </w:rPr>
              <w:t>福建船政交通职业学院2017年科研项目经费配套一栏表</w:t>
            </w:r>
          </w:p>
        </w:tc>
      </w:tr>
      <w:tr w:rsidR="00D81934" w:rsidRPr="00D81934" w:rsidTr="004B328D">
        <w:trPr>
          <w:trHeight w:val="624"/>
          <w:jc w:val="center"/>
        </w:trPr>
        <w:tc>
          <w:tcPr>
            <w:tcW w:w="14053" w:type="dxa"/>
            <w:gridSpan w:val="9"/>
            <w:vMerge/>
            <w:tcBorders>
              <w:top w:val="nil"/>
              <w:left w:val="nil"/>
              <w:bottom w:val="nil"/>
              <w:right w:val="nil"/>
            </w:tcBorders>
            <w:vAlign w:val="center"/>
            <w:hideMark/>
          </w:tcPr>
          <w:p w:rsidR="00D81934" w:rsidRPr="00D81934" w:rsidRDefault="00D81934" w:rsidP="00D81934">
            <w:pPr>
              <w:widowControl/>
              <w:spacing w:line="240" w:lineRule="auto"/>
              <w:jc w:val="left"/>
              <w:rPr>
                <w:rFonts w:ascii="华文仿宋" w:eastAsia="华文仿宋" w:hAnsi="华文仿宋" w:cs="宋体"/>
                <w:b/>
                <w:bCs/>
                <w:color w:val="000000"/>
                <w:kern w:val="0"/>
                <w:szCs w:val="21"/>
              </w:rPr>
            </w:pPr>
          </w:p>
        </w:tc>
      </w:tr>
      <w:tr w:rsidR="004B328D" w:rsidRPr="00D81934" w:rsidTr="004B328D">
        <w:trPr>
          <w:trHeight w:val="960"/>
          <w:jc w:val="center"/>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序号</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项目类型</w:t>
            </w:r>
          </w:p>
        </w:tc>
        <w:tc>
          <w:tcPr>
            <w:tcW w:w="1392" w:type="dxa"/>
            <w:tcBorders>
              <w:top w:val="single" w:sz="4" w:space="0" w:color="auto"/>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项目编号</w:t>
            </w: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项目名称</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项目负责人</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所在单位</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下拨</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（万元）</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配套</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（万元）</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备注</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JAT170942</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基于深度神经网络的手写识别系统</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林恒青</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机械系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JAT170943</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客车动力总成悬置系统的隔振设计</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及软件开发</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李智强</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汽车系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JAT170944</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基于RFM模型和协同滤波技术</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的酒店服务推荐算法设计</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周桂如</w:t>
            </w:r>
          </w:p>
        </w:tc>
        <w:tc>
          <w:tcPr>
            <w:tcW w:w="1134" w:type="dxa"/>
            <w:tcBorders>
              <w:top w:val="nil"/>
              <w:left w:val="nil"/>
              <w:bottom w:val="single" w:sz="4" w:space="0" w:color="auto"/>
              <w:right w:val="single" w:sz="4" w:space="0" w:color="auto"/>
            </w:tcBorders>
            <w:shd w:val="clear" w:color="auto" w:fill="auto"/>
            <w:vAlign w:val="center"/>
            <w:hideMark/>
          </w:tcPr>
          <w:p w:rsidR="00B47B79" w:rsidRDefault="00D81934" w:rsidP="00D81934">
            <w:pPr>
              <w:widowControl/>
              <w:spacing w:line="240" w:lineRule="auto"/>
              <w:jc w:val="center"/>
              <w:rPr>
                <w:rFonts w:ascii="华文仿宋" w:eastAsia="华文仿宋" w:hAnsi="华文仿宋" w:cs="宋体" w:hint="eastAsia"/>
                <w:kern w:val="0"/>
                <w:szCs w:val="21"/>
              </w:rPr>
            </w:pPr>
            <w:r w:rsidRPr="00D81934">
              <w:rPr>
                <w:rFonts w:ascii="华文仿宋" w:eastAsia="华文仿宋" w:hAnsi="华文仿宋" w:cs="宋体" w:hint="eastAsia"/>
                <w:kern w:val="0"/>
                <w:szCs w:val="21"/>
              </w:rPr>
              <w:t>公共</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教学部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4</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JAT170945</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多轴工业机械臂高精度运动轨迹控制算法的研究与部署</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郑晓斌</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机械系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5</w:t>
            </w:r>
          </w:p>
        </w:tc>
        <w:tc>
          <w:tcPr>
            <w:tcW w:w="3260" w:type="dxa"/>
            <w:tcBorders>
              <w:top w:val="nil"/>
              <w:left w:val="nil"/>
              <w:bottom w:val="single" w:sz="4" w:space="0" w:color="auto"/>
              <w:right w:val="single" w:sz="4" w:space="0" w:color="auto"/>
            </w:tcBorders>
            <w:shd w:val="clear" w:color="auto" w:fill="auto"/>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793DA3" w:rsidRDefault="00D81934" w:rsidP="00D81934">
            <w:pPr>
              <w:widowControl/>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JAT170946</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3D打印技术在汽车维修领域</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的应用研究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吕翱</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汽车系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6</w:t>
            </w:r>
          </w:p>
        </w:tc>
        <w:tc>
          <w:tcPr>
            <w:tcW w:w="3260" w:type="dxa"/>
            <w:tcBorders>
              <w:top w:val="nil"/>
              <w:left w:val="nil"/>
              <w:bottom w:val="single" w:sz="4" w:space="0" w:color="auto"/>
              <w:right w:val="single" w:sz="4" w:space="0" w:color="auto"/>
            </w:tcBorders>
            <w:shd w:val="clear" w:color="auto" w:fill="auto"/>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Default="00D81934" w:rsidP="00D81934">
            <w:pPr>
              <w:jc w:val="cente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JAT170947</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港外集装箱堆场RFID技术应用研究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俞丹俊</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经济系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7</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JAT170948</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基于模糊综合评价法的地铁施工</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安全风险评估研究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池传树</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道工系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8</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JAT170949</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CAD/CAE集成环境下模具结构</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三次优化设计研究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邹泽昌</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机械系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9</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JAT170950</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基于Hadoop的道路交通状态识别</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林君萍</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信息系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lastRenderedPageBreak/>
              <w:t>10</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JAT170951</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城市暴雨积涝灾害成因与预防</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的数模研究-以福州市为例</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朱明栓</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道工系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11</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JAT170952</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基于MATLAB\Simulink的挖掘机</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系统节能减排技术与应用</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缪秋莲</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机械系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12</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JAT170953</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夜视环境下车道自动检测的研究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郑志娴</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信息系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13</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JAT170954</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具有软弱下卧层地基的复合桩基桩土共同作用机理研究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王喆</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建工系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14</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JAT170955</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基于BIM技术的城市综合管廊</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优化设计研究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陈勇燕</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建工系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15</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JAT170956</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动力锂电池SOC实时在线估算方法</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王秋霞</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机械系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16</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JAT170957</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车床液压自定心中心架关键技术</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谢祖强</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机械系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17</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JAT170958</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云计算环境下的信息安全风险评估</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与风险决策模型</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朱婧</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信息系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18</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JAS170924</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福州地铁1号线开通对周边居民出行</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方式的影响及公交线网调整研究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林颖</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管理系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19</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JAS170925</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共享经济下职能让渡与管理补位</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的路径研究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吴颖红</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经济系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JAS170926</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福建省不同区域建设用地集约利用</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现状评价研究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李云辉</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建工系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21</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JAS170927</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二胎政策下我国室内家居设计研究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林蕾</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建工系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22</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JAS170928</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全面质量管理下高职院校内涵发展</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的研究与实践</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柳燕妮</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机关</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lastRenderedPageBreak/>
              <w:t>23</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JAS170929</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以汽车金融服务推动汽车销售业绩</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提升的研究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黄美婷</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汽车系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24</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JAS170930</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工程测量技术专业现代学徒制人才</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培养方案研究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李琳</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道工系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25</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JAS170931</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高职交通土建专业群建设实践研究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陈勇烽</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道工系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26</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JAS170932</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职业规划教育视域下高职人才就业</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能力培养的研究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李想</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思政部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27</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JAS170933</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福建“二元制”技术技能人才培养</w:t>
            </w:r>
          </w:p>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模式实践研究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郑婉平</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kern w:val="0"/>
                <w:szCs w:val="21"/>
              </w:rPr>
            </w:pPr>
            <w:r w:rsidRPr="00D81934">
              <w:rPr>
                <w:rFonts w:ascii="华文仿宋" w:eastAsia="华文仿宋" w:hAnsi="华文仿宋" w:cs="宋体" w:hint="eastAsia"/>
                <w:kern w:val="0"/>
                <w:szCs w:val="21"/>
              </w:rPr>
              <w:t>机关</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28</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JAS170934</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船政文化对职业院校学生工匠精神</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培育的研究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吴伟彬</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经济系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67"/>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29</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中青年科研项目（社科类）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JAS170935</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大学生“御宅族”运动干预的出“宅”路径研究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刘宝亮</w:t>
            </w:r>
          </w:p>
        </w:tc>
        <w:tc>
          <w:tcPr>
            <w:tcW w:w="1134" w:type="dxa"/>
            <w:tcBorders>
              <w:top w:val="nil"/>
              <w:left w:val="nil"/>
              <w:bottom w:val="single" w:sz="4" w:space="0" w:color="auto"/>
              <w:right w:val="single" w:sz="4" w:space="0" w:color="auto"/>
            </w:tcBorders>
            <w:shd w:val="clear" w:color="auto" w:fill="auto"/>
            <w:vAlign w:val="center"/>
            <w:hideMark/>
          </w:tcPr>
          <w:p w:rsidR="00B47B79" w:rsidRDefault="00D81934" w:rsidP="00D81934">
            <w:pPr>
              <w:widowControl/>
              <w:spacing w:line="240" w:lineRule="auto"/>
              <w:jc w:val="center"/>
              <w:rPr>
                <w:rFonts w:ascii="华文仿宋" w:eastAsia="华文仿宋" w:hAnsi="华文仿宋" w:cs="宋体" w:hint="eastAsia"/>
                <w:color w:val="000000"/>
                <w:kern w:val="0"/>
                <w:szCs w:val="21"/>
              </w:rPr>
            </w:pPr>
            <w:r w:rsidRPr="00D81934">
              <w:rPr>
                <w:rFonts w:ascii="华文仿宋" w:eastAsia="华文仿宋" w:hAnsi="华文仿宋" w:cs="宋体" w:hint="eastAsia"/>
                <w:color w:val="000000"/>
                <w:kern w:val="0"/>
                <w:szCs w:val="21"/>
              </w:rPr>
              <w:t>公共</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教学部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30</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2016年福建省教育厅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JAT160718</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高性能耐热球墨铸铁的研制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蓝敏俐</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机械系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31</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2016年福建省教育厅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JAT160719</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钢桁架悬索桥的抗震特性分析</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张净霞</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建工系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32</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2016年福建省教育厅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JAT160720</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功能化魔芋葡甘聚糖纳米纤维膜</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的构建及机理研究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傅弘毅</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安全系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33</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2016年福建省教育厅</w:t>
            </w:r>
          </w:p>
          <w:p w:rsidR="00D81934" w:rsidRPr="00D81934" w:rsidRDefault="004B328D" w:rsidP="004B328D">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中青年科研项目（科技类）</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JAT160721</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特级双相不锈钢在氯离子环境下</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电化学腐蚀行为的研究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王钦娟</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机械系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34</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2016年福建省教育厅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中青年科研项目（闽台课题）</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实施海峡两岸职业资格证书互认机制对职业教育人才培养质量的研究  </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郑群英</w:t>
            </w:r>
          </w:p>
        </w:tc>
        <w:tc>
          <w:tcPr>
            <w:tcW w:w="1134" w:type="dxa"/>
            <w:tcBorders>
              <w:top w:val="nil"/>
              <w:left w:val="nil"/>
              <w:bottom w:val="single" w:sz="4" w:space="0" w:color="auto"/>
              <w:right w:val="single" w:sz="4" w:space="0" w:color="auto"/>
            </w:tcBorders>
            <w:shd w:val="clear" w:color="auto" w:fill="auto"/>
            <w:vAlign w:val="center"/>
            <w:hideMark/>
          </w:tcPr>
          <w:p w:rsidR="00B47B79" w:rsidRDefault="00D81934" w:rsidP="00D81934">
            <w:pPr>
              <w:widowControl/>
              <w:spacing w:line="240" w:lineRule="auto"/>
              <w:jc w:val="center"/>
              <w:rPr>
                <w:rFonts w:ascii="华文仿宋" w:eastAsia="华文仿宋" w:hAnsi="华文仿宋" w:cs="宋体" w:hint="eastAsia"/>
                <w:color w:val="000000"/>
                <w:kern w:val="0"/>
                <w:szCs w:val="21"/>
              </w:rPr>
            </w:pPr>
            <w:r w:rsidRPr="00D81934">
              <w:rPr>
                <w:rFonts w:ascii="华文仿宋" w:eastAsia="华文仿宋" w:hAnsi="华文仿宋" w:cs="宋体" w:hint="eastAsia"/>
                <w:color w:val="000000"/>
                <w:kern w:val="0"/>
                <w:szCs w:val="21"/>
              </w:rPr>
              <w:t>继续</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教育部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82"/>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35</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2016年福建省教育厅</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中青年科研项目（闽台课题）</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深化闽台教育交流探索创建闽台合办二级学院的研究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林少丹</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机关</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lastRenderedPageBreak/>
              <w:t>36</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中国职业技术教育学会</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科研规划项目</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201613Y02</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基于“校企共建工作室”的学生课外</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兼职创业平台构建与实践</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张天星</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信息系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37</w:t>
            </w:r>
          </w:p>
        </w:tc>
        <w:tc>
          <w:tcPr>
            <w:tcW w:w="3260"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中国职业技术教育学会</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科研规划项目</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201505TZ08</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《国家学生体质健康标准（2014修订版）》在高职院校实施成效的论证</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与分析</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郭建忠</w:t>
            </w:r>
          </w:p>
        </w:tc>
        <w:tc>
          <w:tcPr>
            <w:tcW w:w="1134" w:type="dxa"/>
            <w:tcBorders>
              <w:top w:val="nil"/>
              <w:left w:val="nil"/>
              <w:bottom w:val="single" w:sz="4" w:space="0" w:color="auto"/>
              <w:right w:val="single" w:sz="4" w:space="0" w:color="auto"/>
            </w:tcBorders>
            <w:shd w:val="clear" w:color="auto" w:fill="auto"/>
            <w:vAlign w:val="center"/>
            <w:hideMark/>
          </w:tcPr>
          <w:p w:rsidR="00B47B79" w:rsidRDefault="00D81934" w:rsidP="00D81934">
            <w:pPr>
              <w:widowControl/>
              <w:spacing w:line="240" w:lineRule="auto"/>
              <w:jc w:val="center"/>
              <w:rPr>
                <w:rFonts w:ascii="华文仿宋" w:eastAsia="华文仿宋" w:hAnsi="华文仿宋" w:cs="宋体" w:hint="eastAsia"/>
                <w:color w:val="000000"/>
                <w:kern w:val="0"/>
                <w:szCs w:val="21"/>
              </w:rPr>
            </w:pPr>
            <w:r w:rsidRPr="00D81934">
              <w:rPr>
                <w:rFonts w:ascii="华文仿宋" w:eastAsia="华文仿宋" w:hAnsi="华文仿宋" w:cs="宋体" w:hint="eastAsia"/>
                <w:color w:val="000000"/>
                <w:kern w:val="0"/>
                <w:szCs w:val="21"/>
              </w:rPr>
              <w:t>公共</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教学部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72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38</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交通运输职业教育科研项目</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（思想政治理论课专项）</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2017SZ19</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高职院校概论课教学话语创新研究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黄晋京</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思政部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39</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交通运输职业教育科研项目</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（思想政治理论课专项）</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2017SZ18</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基于以培养工匠精神为核心的高职</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思政课教学改革研究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洪凌艳</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思政部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40</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福建省教育科学“十三五”规划</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2017年度课题</w:t>
            </w:r>
          </w:p>
        </w:tc>
        <w:tc>
          <w:tcPr>
            <w:tcW w:w="1392"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2017CG</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09351</w:t>
            </w:r>
          </w:p>
        </w:tc>
        <w:tc>
          <w:tcPr>
            <w:tcW w:w="3588"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城镇化推进中运动参与对城市流动</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儿童社会融合的研究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刘宝亮</w:t>
            </w:r>
          </w:p>
        </w:tc>
        <w:tc>
          <w:tcPr>
            <w:tcW w:w="1134" w:type="dxa"/>
            <w:tcBorders>
              <w:top w:val="nil"/>
              <w:left w:val="nil"/>
              <w:bottom w:val="single" w:sz="4" w:space="0" w:color="auto"/>
              <w:right w:val="single" w:sz="4" w:space="0" w:color="auto"/>
            </w:tcBorders>
            <w:shd w:val="clear" w:color="auto" w:fill="auto"/>
            <w:vAlign w:val="center"/>
            <w:hideMark/>
          </w:tcPr>
          <w:p w:rsidR="00B47B79" w:rsidRDefault="00D81934" w:rsidP="00D81934">
            <w:pPr>
              <w:widowControl/>
              <w:spacing w:line="240" w:lineRule="auto"/>
              <w:jc w:val="center"/>
              <w:rPr>
                <w:rFonts w:ascii="华文仿宋" w:eastAsia="华文仿宋" w:hAnsi="华文仿宋" w:cs="宋体" w:hint="eastAsia"/>
                <w:color w:val="000000"/>
                <w:kern w:val="0"/>
                <w:szCs w:val="21"/>
              </w:rPr>
            </w:pPr>
            <w:r w:rsidRPr="00D81934">
              <w:rPr>
                <w:rFonts w:ascii="华文仿宋" w:eastAsia="华文仿宋" w:hAnsi="华文仿宋" w:cs="宋体" w:hint="eastAsia"/>
                <w:color w:val="000000"/>
                <w:kern w:val="0"/>
                <w:szCs w:val="21"/>
              </w:rPr>
              <w:t>公共</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教学部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0.6</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0.6</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41</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福建省教育科学“十三五”规划</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2017年度课题</w:t>
            </w:r>
          </w:p>
        </w:tc>
        <w:tc>
          <w:tcPr>
            <w:tcW w:w="1392" w:type="dxa"/>
            <w:tcBorders>
              <w:top w:val="nil"/>
              <w:left w:val="nil"/>
              <w:bottom w:val="single" w:sz="4" w:space="0" w:color="auto"/>
              <w:right w:val="single" w:sz="4" w:space="0" w:color="auto"/>
            </w:tcBorders>
            <w:shd w:val="clear" w:color="auto" w:fill="auto"/>
            <w:vAlign w:val="center"/>
            <w:hideMark/>
          </w:tcPr>
          <w:p w:rsidR="004B328D"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2017CG</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09361</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惯习---场域：大学生体育自主学习能力与认知需求、创造性的关系研究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王鹏</w:t>
            </w:r>
          </w:p>
        </w:tc>
        <w:tc>
          <w:tcPr>
            <w:tcW w:w="1134" w:type="dxa"/>
            <w:tcBorders>
              <w:top w:val="nil"/>
              <w:left w:val="nil"/>
              <w:bottom w:val="single" w:sz="4" w:space="0" w:color="auto"/>
              <w:right w:val="single" w:sz="4" w:space="0" w:color="auto"/>
            </w:tcBorders>
            <w:shd w:val="clear" w:color="auto" w:fill="auto"/>
            <w:vAlign w:val="center"/>
            <w:hideMark/>
          </w:tcPr>
          <w:p w:rsidR="00B47B79" w:rsidRDefault="00D81934" w:rsidP="00D81934">
            <w:pPr>
              <w:widowControl/>
              <w:spacing w:line="240" w:lineRule="auto"/>
              <w:jc w:val="center"/>
              <w:rPr>
                <w:rFonts w:ascii="华文仿宋" w:eastAsia="华文仿宋" w:hAnsi="华文仿宋" w:cs="宋体" w:hint="eastAsia"/>
                <w:color w:val="000000"/>
                <w:kern w:val="0"/>
                <w:szCs w:val="21"/>
              </w:rPr>
            </w:pPr>
            <w:r w:rsidRPr="00D81934">
              <w:rPr>
                <w:rFonts w:ascii="华文仿宋" w:eastAsia="华文仿宋" w:hAnsi="华文仿宋" w:cs="宋体" w:hint="eastAsia"/>
                <w:color w:val="000000"/>
                <w:kern w:val="0"/>
                <w:szCs w:val="21"/>
              </w:rPr>
              <w:t>公共</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教学部</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0.6</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0.6</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642"/>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42</w:t>
            </w:r>
          </w:p>
        </w:tc>
        <w:tc>
          <w:tcPr>
            <w:tcW w:w="3260" w:type="dxa"/>
            <w:tcBorders>
              <w:top w:val="nil"/>
              <w:left w:val="nil"/>
              <w:bottom w:val="single" w:sz="4" w:space="0" w:color="auto"/>
              <w:right w:val="single" w:sz="4" w:space="0" w:color="auto"/>
            </w:tcBorders>
            <w:shd w:val="clear" w:color="auto" w:fill="auto"/>
            <w:vAlign w:val="center"/>
            <w:hideMark/>
          </w:tcPr>
          <w:p w:rsid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交通运输职业教育科研项目</w:t>
            </w:r>
          </w:p>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（重点项目）</w:t>
            </w:r>
          </w:p>
        </w:tc>
        <w:tc>
          <w:tcPr>
            <w:tcW w:w="13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2015A11</w:t>
            </w:r>
          </w:p>
        </w:tc>
        <w:tc>
          <w:tcPr>
            <w:tcW w:w="3588"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城市轨道交通工程技术专业人才培养保障体系构建与研究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盛海洋</w:t>
            </w:r>
          </w:p>
        </w:tc>
        <w:tc>
          <w:tcPr>
            <w:tcW w:w="1134"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道工系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0.2</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43</w:t>
            </w:r>
          </w:p>
        </w:tc>
        <w:tc>
          <w:tcPr>
            <w:tcW w:w="3260"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中国高等教育学会</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职业技术教育分会课题（重点）</w:t>
            </w:r>
          </w:p>
        </w:tc>
        <w:tc>
          <w:tcPr>
            <w:tcW w:w="1392" w:type="dxa"/>
            <w:tcBorders>
              <w:top w:val="nil"/>
              <w:left w:val="nil"/>
              <w:bottom w:val="single" w:sz="4" w:space="0" w:color="auto"/>
              <w:right w:val="single" w:sz="4" w:space="0" w:color="auto"/>
            </w:tcBorders>
            <w:shd w:val="clear" w:color="auto" w:fill="auto"/>
            <w:vAlign w:val="center"/>
            <w:hideMark/>
          </w:tcPr>
          <w:p w:rsidR="004B328D"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GZYZD</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2017017</w:t>
            </w:r>
          </w:p>
        </w:tc>
        <w:tc>
          <w:tcPr>
            <w:tcW w:w="3588" w:type="dxa"/>
            <w:tcBorders>
              <w:top w:val="nil"/>
              <w:left w:val="nil"/>
              <w:bottom w:val="single" w:sz="4" w:space="0" w:color="auto"/>
              <w:right w:val="single" w:sz="4" w:space="0" w:color="auto"/>
            </w:tcBorders>
            <w:shd w:val="clear" w:color="auto" w:fill="auto"/>
            <w:vAlign w:val="center"/>
            <w:hideMark/>
          </w:tcPr>
          <w:p w:rsidR="004B328D"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高职学院教学诊断与评估数据监测</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的研究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陈明蔚</w:t>
            </w:r>
          </w:p>
        </w:tc>
        <w:tc>
          <w:tcPr>
            <w:tcW w:w="1134"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研督处</w:t>
            </w:r>
          </w:p>
        </w:tc>
        <w:tc>
          <w:tcPr>
            <w:tcW w:w="993"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0.3</w:t>
            </w:r>
          </w:p>
        </w:tc>
        <w:tc>
          <w:tcPr>
            <w:tcW w:w="992"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0.5</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FF0000"/>
                <w:kern w:val="0"/>
                <w:szCs w:val="21"/>
              </w:rPr>
            </w:pPr>
            <w:r w:rsidRPr="00D81934">
              <w:rPr>
                <w:rFonts w:ascii="华文仿宋" w:eastAsia="华文仿宋" w:hAnsi="华文仿宋" w:cs="宋体" w:hint="eastAsia"/>
                <w:color w:val="FF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44</w:t>
            </w:r>
          </w:p>
        </w:tc>
        <w:tc>
          <w:tcPr>
            <w:tcW w:w="3260"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中国高等教育学会</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职业技术教育分会课题（一般）</w:t>
            </w:r>
          </w:p>
        </w:tc>
        <w:tc>
          <w:tcPr>
            <w:tcW w:w="1392" w:type="dxa"/>
            <w:tcBorders>
              <w:top w:val="nil"/>
              <w:left w:val="nil"/>
              <w:bottom w:val="single" w:sz="4" w:space="0" w:color="auto"/>
              <w:right w:val="single" w:sz="4" w:space="0" w:color="auto"/>
            </w:tcBorders>
            <w:shd w:val="clear" w:color="auto" w:fill="auto"/>
            <w:vAlign w:val="center"/>
            <w:hideMark/>
          </w:tcPr>
          <w:p w:rsidR="004B328D"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GZYYB</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2017129</w:t>
            </w:r>
          </w:p>
        </w:tc>
        <w:tc>
          <w:tcPr>
            <w:tcW w:w="3588" w:type="dxa"/>
            <w:tcBorders>
              <w:top w:val="nil"/>
              <w:left w:val="nil"/>
              <w:bottom w:val="single" w:sz="4" w:space="0" w:color="auto"/>
              <w:right w:val="single" w:sz="4" w:space="0" w:color="auto"/>
            </w:tcBorders>
            <w:shd w:val="clear" w:color="auto" w:fill="auto"/>
            <w:vAlign w:val="center"/>
            <w:hideMark/>
          </w:tcPr>
          <w:p w:rsidR="004B328D"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房地产经营与管理专业现代学徒制</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实践教学体系创新研究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周莉</w:t>
            </w:r>
          </w:p>
        </w:tc>
        <w:tc>
          <w:tcPr>
            <w:tcW w:w="1134"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道工系</w:t>
            </w:r>
          </w:p>
        </w:tc>
        <w:tc>
          <w:tcPr>
            <w:tcW w:w="993"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0.3</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FF0000"/>
                <w:kern w:val="0"/>
                <w:szCs w:val="21"/>
              </w:rPr>
            </w:pPr>
            <w:r w:rsidRPr="00D81934">
              <w:rPr>
                <w:rFonts w:ascii="华文仿宋" w:eastAsia="华文仿宋" w:hAnsi="华文仿宋" w:cs="宋体" w:hint="eastAsia"/>
                <w:color w:val="FF0000"/>
                <w:kern w:val="0"/>
                <w:szCs w:val="21"/>
              </w:rPr>
              <w:t xml:space="preserve">　</w:t>
            </w:r>
          </w:p>
        </w:tc>
      </w:tr>
      <w:tr w:rsidR="004B328D" w:rsidRPr="00D81934" w:rsidTr="004B328D">
        <w:trPr>
          <w:trHeight w:val="540"/>
          <w:jc w:val="center"/>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45</w:t>
            </w:r>
          </w:p>
        </w:tc>
        <w:tc>
          <w:tcPr>
            <w:tcW w:w="3260"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中国高等教育学会</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职业技术教育分会课题（一般）</w:t>
            </w:r>
          </w:p>
        </w:tc>
        <w:tc>
          <w:tcPr>
            <w:tcW w:w="1392" w:type="dxa"/>
            <w:tcBorders>
              <w:top w:val="nil"/>
              <w:left w:val="nil"/>
              <w:bottom w:val="single" w:sz="4" w:space="0" w:color="auto"/>
              <w:right w:val="single" w:sz="4" w:space="0" w:color="auto"/>
            </w:tcBorders>
            <w:shd w:val="clear" w:color="auto" w:fill="auto"/>
            <w:vAlign w:val="center"/>
            <w:hideMark/>
          </w:tcPr>
          <w:p w:rsidR="004B328D"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GZYYB</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2017130</w:t>
            </w:r>
          </w:p>
        </w:tc>
        <w:tc>
          <w:tcPr>
            <w:tcW w:w="3588" w:type="dxa"/>
            <w:tcBorders>
              <w:top w:val="nil"/>
              <w:left w:val="nil"/>
              <w:bottom w:val="single" w:sz="4" w:space="0" w:color="auto"/>
              <w:right w:val="single" w:sz="4" w:space="0" w:color="auto"/>
            </w:tcBorders>
            <w:shd w:val="clear" w:color="auto" w:fill="auto"/>
            <w:vAlign w:val="center"/>
            <w:hideMark/>
          </w:tcPr>
          <w:p w:rsidR="004B328D"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交通行业高职院校信息技术专业</w:t>
            </w:r>
          </w:p>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特色研究</w:t>
            </w:r>
          </w:p>
        </w:tc>
        <w:tc>
          <w:tcPr>
            <w:tcW w:w="1275"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吴为民</w:t>
            </w:r>
          </w:p>
        </w:tc>
        <w:tc>
          <w:tcPr>
            <w:tcW w:w="1134" w:type="dxa"/>
            <w:tcBorders>
              <w:top w:val="nil"/>
              <w:left w:val="nil"/>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信息系</w:t>
            </w:r>
          </w:p>
        </w:tc>
        <w:tc>
          <w:tcPr>
            <w:tcW w:w="993" w:type="dxa"/>
            <w:tcBorders>
              <w:top w:val="nil"/>
              <w:left w:val="nil"/>
              <w:bottom w:val="nil"/>
              <w:right w:val="nil"/>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D81934" w:rsidRPr="00B47B79" w:rsidRDefault="00D81934" w:rsidP="00D81934">
            <w:pPr>
              <w:widowControl/>
              <w:spacing w:line="240" w:lineRule="auto"/>
              <w:jc w:val="center"/>
              <w:rPr>
                <w:rFonts w:ascii="华文仿宋" w:eastAsia="华文仿宋" w:hAnsi="华文仿宋" w:cs="宋体"/>
                <w:color w:val="000000" w:themeColor="text1"/>
                <w:kern w:val="0"/>
                <w:szCs w:val="21"/>
              </w:rPr>
            </w:pPr>
            <w:r w:rsidRPr="00B47B79">
              <w:rPr>
                <w:rFonts w:ascii="华文仿宋" w:eastAsia="华文仿宋" w:hAnsi="华文仿宋" w:cs="宋体" w:hint="eastAsia"/>
                <w:color w:val="000000" w:themeColor="text1"/>
                <w:kern w:val="0"/>
                <w:szCs w:val="21"/>
              </w:rPr>
              <w:t>0.3</w:t>
            </w:r>
          </w:p>
        </w:tc>
        <w:tc>
          <w:tcPr>
            <w:tcW w:w="709"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FF0000"/>
                <w:kern w:val="0"/>
                <w:szCs w:val="21"/>
              </w:rPr>
            </w:pPr>
            <w:r w:rsidRPr="00D81934">
              <w:rPr>
                <w:rFonts w:ascii="华文仿宋" w:eastAsia="华文仿宋" w:hAnsi="华文仿宋" w:cs="宋体" w:hint="eastAsia"/>
                <w:color w:val="FF0000"/>
                <w:kern w:val="0"/>
                <w:szCs w:val="21"/>
              </w:rPr>
              <w:t xml:space="preserve">　</w:t>
            </w:r>
          </w:p>
        </w:tc>
      </w:tr>
      <w:tr w:rsidR="00D81934" w:rsidRPr="00D81934" w:rsidTr="004B328D">
        <w:trPr>
          <w:trHeight w:val="499"/>
          <w:jc w:val="center"/>
        </w:trPr>
        <w:tc>
          <w:tcPr>
            <w:tcW w:w="11359"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合计</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18.2</w:t>
            </w:r>
          </w:p>
        </w:tc>
        <w:tc>
          <w:tcPr>
            <w:tcW w:w="992" w:type="dxa"/>
            <w:tcBorders>
              <w:top w:val="nil"/>
              <w:left w:val="nil"/>
              <w:bottom w:val="single" w:sz="4" w:space="0" w:color="auto"/>
              <w:right w:val="single" w:sz="4" w:space="0" w:color="auto"/>
            </w:tcBorders>
            <w:shd w:val="clear" w:color="auto" w:fill="auto"/>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20</w:t>
            </w:r>
          </w:p>
        </w:tc>
        <w:tc>
          <w:tcPr>
            <w:tcW w:w="709" w:type="dxa"/>
            <w:tcBorders>
              <w:top w:val="nil"/>
              <w:left w:val="nil"/>
              <w:bottom w:val="single" w:sz="4" w:space="0" w:color="auto"/>
              <w:right w:val="single" w:sz="4" w:space="0" w:color="auto"/>
            </w:tcBorders>
            <w:shd w:val="clear" w:color="auto" w:fill="auto"/>
            <w:noWrap/>
            <w:vAlign w:val="center"/>
            <w:hideMark/>
          </w:tcPr>
          <w:p w:rsidR="00D81934" w:rsidRPr="00D81934" w:rsidRDefault="00D81934" w:rsidP="00D81934">
            <w:pPr>
              <w:widowControl/>
              <w:spacing w:line="240" w:lineRule="auto"/>
              <w:jc w:val="center"/>
              <w:rPr>
                <w:rFonts w:ascii="华文仿宋" w:eastAsia="华文仿宋" w:hAnsi="华文仿宋" w:cs="宋体"/>
                <w:color w:val="000000"/>
                <w:kern w:val="0"/>
                <w:szCs w:val="21"/>
              </w:rPr>
            </w:pPr>
            <w:r w:rsidRPr="00D81934">
              <w:rPr>
                <w:rFonts w:ascii="华文仿宋" w:eastAsia="华文仿宋" w:hAnsi="华文仿宋" w:cs="宋体" w:hint="eastAsia"/>
                <w:color w:val="000000"/>
                <w:kern w:val="0"/>
                <w:szCs w:val="21"/>
              </w:rPr>
              <w:t xml:space="preserve">　</w:t>
            </w:r>
          </w:p>
        </w:tc>
      </w:tr>
    </w:tbl>
    <w:p w:rsidR="009245F1" w:rsidRDefault="009245F1"/>
    <w:sectPr w:rsidR="009245F1" w:rsidSect="00D81934">
      <w:pgSz w:w="16839" w:h="11907" w:orient="landscape" w:code="9"/>
      <w:pgMar w:top="1701" w:right="1701" w:bottom="1418"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7220" w:rsidRDefault="00077220" w:rsidP="00B47B79">
      <w:pPr>
        <w:spacing w:line="240" w:lineRule="auto"/>
      </w:pPr>
      <w:r>
        <w:separator/>
      </w:r>
    </w:p>
  </w:endnote>
  <w:endnote w:type="continuationSeparator" w:id="1">
    <w:p w:rsidR="00077220" w:rsidRDefault="00077220" w:rsidP="00B47B7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7220" w:rsidRDefault="00077220" w:rsidP="00B47B79">
      <w:pPr>
        <w:spacing w:line="240" w:lineRule="auto"/>
      </w:pPr>
      <w:r>
        <w:separator/>
      </w:r>
    </w:p>
  </w:footnote>
  <w:footnote w:type="continuationSeparator" w:id="1">
    <w:p w:rsidR="00077220" w:rsidRDefault="00077220" w:rsidP="00B47B7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1934"/>
    <w:rsid w:val="00077220"/>
    <w:rsid w:val="004B328D"/>
    <w:rsid w:val="005E1DC8"/>
    <w:rsid w:val="007B5770"/>
    <w:rsid w:val="009245F1"/>
    <w:rsid w:val="00B47B79"/>
    <w:rsid w:val="00CD59CB"/>
    <w:rsid w:val="00D819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45F1"/>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7B79"/>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B47B79"/>
    <w:rPr>
      <w:sz w:val="18"/>
      <w:szCs w:val="18"/>
    </w:rPr>
  </w:style>
  <w:style w:type="paragraph" w:styleId="a4">
    <w:name w:val="footer"/>
    <w:basedOn w:val="a"/>
    <w:link w:val="Char0"/>
    <w:uiPriority w:val="99"/>
    <w:semiHidden/>
    <w:unhideWhenUsed/>
    <w:rsid w:val="00B47B79"/>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B47B79"/>
    <w:rPr>
      <w:sz w:val="18"/>
      <w:szCs w:val="18"/>
    </w:rPr>
  </w:style>
</w:styles>
</file>

<file path=word/webSettings.xml><?xml version="1.0" encoding="utf-8"?>
<w:webSettings xmlns:r="http://schemas.openxmlformats.org/officeDocument/2006/relationships" xmlns:w="http://schemas.openxmlformats.org/wordprocessingml/2006/main">
  <w:divs>
    <w:div w:id="1583955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551</Words>
  <Characters>3146</Characters>
  <Application>Microsoft Office Word</Application>
  <DocSecurity>0</DocSecurity>
  <Lines>26</Lines>
  <Paragraphs>7</Paragraphs>
  <ScaleCrop>false</ScaleCrop>
  <Company>Microsoft</Company>
  <LinksUpToDate>false</LinksUpToDate>
  <CharactersWithSpaces>3690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2017-11-03T10:27:00Z</dcterms:created>
  <dcterms:modified xsi:type="dcterms:W3CDTF">2017-11-03T10:49:00Z</dcterms:modified>
</cp:coreProperties>
</file>