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firstLine="0"/>
        <w:rPr>
          <w:rFonts w:ascii="黑体" w:hAnsi="宋体" w:eastAsia="黑体" w:cs="仿宋"/>
          <w:sz w:val="32"/>
          <w:szCs w:val="32"/>
          <w:lang w:eastAsia="zh-CN"/>
        </w:rPr>
      </w:pPr>
      <w:r>
        <w:rPr>
          <w:rFonts w:hint="eastAsia" w:ascii="黑体" w:hAnsi="宋体" w:eastAsia="黑体" w:cs="仿宋"/>
          <w:sz w:val="32"/>
          <w:szCs w:val="32"/>
          <w:lang w:eastAsia="zh-CN"/>
        </w:rPr>
        <w:t>附件2</w:t>
      </w:r>
    </w:p>
    <w:p>
      <w:pPr>
        <w:widowControl/>
        <w:snapToGrid w:val="0"/>
        <w:spacing w:line="700" w:lineRule="atLeast"/>
        <w:ind w:right="-64"/>
        <w:jc w:val="center"/>
        <w:rPr>
          <w:rFonts w:ascii="宋体" w:hAnsi="宋体" w:cs="仿宋"/>
          <w:bCs/>
          <w:spacing w:val="8"/>
          <w:w w:val="94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宋体" w:hAnsi="宋体" w:cs="仿宋"/>
          <w:bCs/>
          <w:spacing w:val="8"/>
          <w:w w:val="94"/>
          <w:sz w:val="36"/>
          <w:szCs w:val="36"/>
          <w:shd w:val="clear" w:color="auto" w:fill="FFFFFF"/>
        </w:rPr>
        <w:t>福建船政交通职业学院</w:t>
      </w:r>
    </w:p>
    <w:p>
      <w:pPr>
        <w:snapToGrid w:val="0"/>
        <w:spacing w:line="700" w:lineRule="atLeast"/>
        <w:jc w:val="center"/>
        <w:rPr>
          <w:rFonts w:ascii="宋体" w:hAnsi="宋体" w:cs="仿宋"/>
          <w:bCs/>
          <w:sz w:val="36"/>
          <w:szCs w:val="36"/>
        </w:rPr>
      </w:pPr>
      <w:r>
        <w:rPr>
          <w:rFonts w:ascii="宋体" w:hAnsi="宋体" w:cs="仿宋"/>
          <w:bCs/>
          <w:w w:val="94"/>
          <w:sz w:val="36"/>
          <w:szCs w:val="36"/>
        </w:rPr>
        <w:t>20</w:t>
      </w:r>
      <w:r>
        <w:rPr>
          <w:rFonts w:hint="eastAsia" w:ascii="宋体" w:hAnsi="宋体" w:cs="仿宋"/>
          <w:bCs/>
          <w:w w:val="94"/>
          <w:sz w:val="36"/>
          <w:szCs w:val="36"/>
        </w:rPr>
        <w:t>21</w:t>
      </w:r>
      <w:r>
        <w:rPr>
          <w:rFonts w:ascii="宋体" w:hAnsi="宋体" w:cs="仿宋"/>
          <w:bCs/>
          <w:w w:val="94"/>
          <w:sz w:val="36"/>
          <w:szCs w:val="36"/>
        </w:rPr>
        <w:t>-202</w:t>
      </w:r>
      <w:r>
        <w:rPr>
          <w:rFonts w:hint="eastAsia" w:ascii="宋体" w:hAnsi="宋体" w:cs="仿宋"/>
          <w:bCs/>
          <w:w w:val="94"/>
          <w:sz w:val="36"/>
          <w:szCs w:val="36"/>
        </w:rPr>
        <w:t>2年度</w:t>
      </w:r>
      <w:r>
        <w:rPr>
          <w:rFonts w:hint="eastAsia" w:ascii="宋体" w:hAnsi="宋体" w:cs="仿宋"/>
          <w:bCs/>
          <w:sz w:val="36"/>
          <w:szCs w:val="36"/>
        </w:rPr>
        <w:t>“无偿献血先进工作者”名单</w:t>
      </w:r>
    </w:p>
    <w:bookmarkEnd w:id="0"/>
    <w:p>
      <w:pPr>
        <w:widowControl/>
        <w:snapToGrid w:val="0"/>
        <w:spacing w:line="560" w:lineRule="atLeast"/>
        <w:ind w:right="-64"/>
        <w:jc w:val="center"/>
        <w:rPr>
          <w:rFonts w:ascii="仿宋_GB2312" w:hAnsi="仿宋" w:eastAsia="仿宋_GB2312" w:cs="仿宋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</w:rPr>
        <w:t>（共26名，排名不分先后）</w:t>
      </w:r>
    </w:p>
    <w:p>
      <w:pPr>
        <w:snapToGrid w:val="0"/>
        <w:spacing w:line="560" w:lineRule="atLeast"/>
        <w:jc w:val="center"/>
        <w:rPr>
          <w:rFonts w:ascii="仿宋_GB2312" w:hAnsi="宋体" w:eastAsia="仿宋_GB2312" w:cs="仿宋"/>
          <w:bCs/>
          <w:sz w:val="32"/>
          <w:szCs w:val="32"/>
        </w:rPr>
      </w:pPr>
    </w:p>
    <w:tbl>
      <w:tblPr>
        <w:tblStyle w:val="2"/>
        <w:tblW w:w="155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安全与环境学院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 彭志允</w:t>
            </w:r>
          </w:p>
          <w:p>
            <w:pPr>
              <w:numPr>
                <w:ilvl w:val="0"/>
                <w:numId w:val="1"/>
              </w:num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</w:p>
          <w:p>
            <w:pPr>
              <w:numPr>
                <w:ilvl w:val="0"/>
                <w:numId w:val="1"/>
              </w:num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2．安全与环境学院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 胡熙雯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20级安全技术与管理2班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3．安全与环境学院  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罗林玲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21级环境工程技术3班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4．安全与环境学院     翁朝荣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21级安全技术与管理4班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5．轨道交通学院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   林欣欣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6．航海学院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       周诗婕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21级国际邮轮乘务管理1班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7．机械与智能制造学院 郑  茜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8．机械与智能制造学院 饶晨乐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21级机械制造及自动化3班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9．机械与智能制造学院 杨京京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21级电气自动化技术2班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10．经济与管理学院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傅一丹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11．经济与管理学院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郑琳欣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20级报关与国际货运2班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12．汽车学院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      余晨炜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13．汽车学院       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贾子鹏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21级汽车检测与维修技术3班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14．汽车学院       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林  鑫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20级汽车检测与维修技术5班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15．汽车学院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      林增铭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20级新能源汽车技术3班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16．汽车学院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      刘佳鑫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21级汽车检测与维修技术3班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17．汽车学院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      卢阳光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21级新能源汽车技术3班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18．通用航空产业学院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张玉婷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21级空中乘务1班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19．土木工程学院   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黄  森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21级道路与桥梁工程技术3班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20．土木工程学院   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柯文渊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21级道路与桥梁工程技术3班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21．土木工程学院    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来军委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21级道路与桥梁工程技术2班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22．土木工程学院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  邱绍北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20级市政工程技术2班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23．土木工程学院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  吴兆强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20级市政工程技术2班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24．信息与智慧交通学院  林金凤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20级计算机网络技术1班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25．信息与智慧交通学院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潘文钦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21级软件技术3班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59" w:type="dxa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26．信息与智慧交通学院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危必浚 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20级软件技术1班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FD21FA"/>
    <w:multiLevelType w:val="singleLevel"/>
    <w:tmpl w:val="1AFD21FA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</w:docVars>
  <w:rsids>
    <w:rsidRoot w:val="2A8B5677"/>
    <w:rsid w:val="12443874"/>
    <w:rsid w:val="2A8B56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2"/>
    <w:basedOn w:val="1"/>
    <w:qFormat/>
    <w:uiPriority w:val="0"/>
    <w:pPr>
      <w:spacing w:line="314" w:lineRule="auto"/>
      <w:ind w:firstLine="420"/>
      <w:jc w:val="left"/>
    </w:pPr>
    <w:rPr>
      <w:rFonts w:ascii="Times New Roman" w:hAnsi="Times New Roman"/>
      <w:color w:val="000000"/>
      <w:kern w:val="0"/>
      <w:sz w:val="30"/>
      <w:szCs w:val="3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90</Characters>
  <Lines>0</Lines>
  <Paragraphs>0</Paragraphs>
  <TotalTime>0</TotalTime>
  <ScaleCrop>false</ScaleCrop>
  <LinksUpToDate>false</LinksUpToDate>
  <CharactersWithSpaces>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2023-05-05T07:37:00Z</dcterms:created>
  <dc:creator>小羊好运来</dc:creator>
  <cp:lastModifiedBy>小羊好运来</cp:lastModifiedBy>
  <dcterms:modified xsi:type="dcterms:W3CDTF">2023-05-05T07:38:56Z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23FF3EF8AB774E70BC9508620A0D42EC_13</vt:lpwstr>
  </property>
</Properties>
</file>